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香河县统计局部门</w:t>
      </w:r>
      <w:r>
        <w:rPr>
          <w:rFonts w:cs="Times New Roman" w:asciiTheme="majorEastAsia" w:hAnsiTheme="majorEastAsia" w:eastAsiaTheme="majorEastAsia"/>
          <w:b/>
          <w:sz w:val="44"/>
          <w:szCs w:val="44"/>
        </w:rPr>
        <w:t>2017年部门预算信息公开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香河县统计部门</w:t>
      </w:r>
      <w:r>
        <w:rPr>
          <w:rFonts w:ascii="仿宋" w:hAnsi="仿宋" w:eastAsia="仿宋" w:cs="Times New Roman"/>
          <w:sz w:val="32"/>
          <w:szCs w:val="32"/>
        </w:rPr>
        <w:t>2017年部门预算公开如下：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firstLine="56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宋体"/>
          <w:sz w:val="32"/>
          <w:szCs w:val="32"/>
        </w:rPr>
        <w:t>、依照国家和省颁布的法律、法规和政策，制定地方性统计工作规章制度和统计现代化建设计划，检查。监督统计法律、法规的实施。</w:t>
      </w:r>
    </w:p>
    <w:p>
      <w:pPr>
        <w:ind w:firstLine="56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宋体"/>
          <w:sz w:val="32"/>
          <w:szCs w:val="32"/>
        </w:rPr>
        <w:t>、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pPr>
        <w:ind w:firstLine="56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宋体"/>
          <w:sz w:val="32"/>
          <w:szCs w:val="32"/>
        </w:rPr>
        <w:t>、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pPr>
        <w:ind w:firstLine="56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宋体"/>
          <w:sz w:val="32"/>
          <w:szCs w:val="32"/>
        </w:rPr>
        <w:t>、统一核定、管理全县性的基本统计资料，发布全县国民经济和社会发展情况的统计信息。</w:t>
      </w:r>
    </w:p>
    <w:p>
      <w:pPr>
        <w:ind w:firstLine="56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宋体"/>
          <w:sz w:val="32"/>
          <w:szCs w:val="32"/>
        </w:rPr>
        <w:t>、承办县委、县政府交办的其他事项。</w:t>
      </w:r>
    </w:p>
    <w:p>
      <w:pPr>
        <w:ind w:firstLine="640" w:firstLineChars="200"/>
        <w:rPr>
          <w:rFonts w:ascii="仿宋" w:hAnsi="仿宋" w:eastAsia="仿宋" w:cs="Times New Roman"/>
          <w:sz w:val="32"/>
          <w:szCs w:val="32"/>
        </w:rPr>
      </w:pP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经费保障形式包括：财政拨款（行政）、财政性资金基本保证（全额事业）、财政性资金定额或定向补助（差额事业）、财政性资金零补助（自收自支）</w:t>
      </w:r>
    </w:p>
    <w:p>
      <w:pPr>
        <w:jc w:val="left"/>
        <w:outlineLvl w:val="0"/>
        <w:rPr>
          <w:rFonts w:ascii="仿宋" w:hAnsi="仿宋" w:eastAsia="仿宋"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香河县统计局</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局</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cs="Times New Roman"/>
          <w:color w:val="000000" w:themeColor="text1"/>
          <w:sz w:val="32"/>
          <w:szCs w:val="32"/>
          <w14:textFill>
            <w14:solidFill>
              <w14:schemeClr w14:val="tx1"/>
            </w14:solidFill>
          </w14:textFill>
        </w:rPr>
        <w:t>只包括本单位预算，不包含下属单位预算在汇总预算中。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反映本部门当年全部收入。2017年预算收入</w:t>
      </w:r>
      <w:r>
        <w:rPr>
          <w:rFonts w:hint="eastAsia" w:ascii="仿宋" w:hAnsi="仿宋" w:eastAsia="仿宋" w:cs="Times New Roman"/>
          <w:sz w:val="32"/>
          <w:szCs w:val="32"/>
        </w:rPr>
        <w:t>6</w:t>
      </w:r>
      <w:r>
        <w:rPr>
          <w:rFonts w:ascii="仿宋" w:hAnsi="仿宋" w:eastAsia="仿宋" w:cs="Times New Roman"/>
          <w:sz w:val="32"/>
          <w:szCs w:val="32"/>
        </w:rPr>
        <w:t>22.14万元，其中：一般公共预算收入</w:t>
      </w:r>
      <w:r>
        <w:rPr>
          <w:rFonts w:hint="eastAsia" w:ascii="仿宋" w:hAnsi="仿宋" w:eastAsia="仿宋" w:cs="Times New Roman"/>
          <w:sz w:val="32"/>
          <w:szCs w:val="32"/>
        </w:rPr>
        <w:t>5</w:t>
      </w:r>
      <w:r>
        <w:rPr>
          <w:rFonts w:ascii="仿宋" w:hAnsi="仿宋" w:eastAsia="仿宋" w:cs="Times New Roman"/>
          <w:sz w:val="32"/>
          <w:szCs w:val="32"/>
        </w:rPr>
        <w:t>7.46万元。</w:t>
      </w:r>
    </w:p>
    <w:p>
      <w:pPr>
        <w:ind w:firstLine="640"/>
        <w:rPr>
          <w:rFonts w:ascii="仿宋" w:hAnsi="仿宋" w:eastAsia="仿宋" w:cs="Times New Roman"/>
          <w:sz w:val="32"/>
          <w:szCs w:val="32"/>
        </w:rPr>
      </w:pPr>
      <w:r>
        <w:rPr>
          <w:rFonts w:hint="eastAsia" w:ascii="仿宋" w:hAnsi="仿宋" w:eastAsia="仿宋" w:cs="黑体"/>
          <w:sz w:val="32"/>
          <w:szCs w:val="32"/>
        </w:rPr>
        <w:t>财政专户核拨资金</w:t>
      </w:r>
      <w:r>
        <w:rPr>
          <w:rFonts w:hint="eastAsia" w:ascii="仿宋" w:hAnsi="仿宋" w:eastAsia="仿宋" w:cs="Times New Roman"/>
          <w:sz w:val="32"/>
          <w:szCs w:val="32"/>
        </w:rPr>
        <w:t>0</w:t>
      </w:r>
      <w:r>
        <w:rPr>
          <w:rFonts w:hint="eastAsia" w:ascii="仿宋" w:hAnsi="仿宋" w:eastAsia="仿宋" w:cs="黑体"/>
          <w:sz w:val="32"/>
          <w:szCs w:val="32"/>
        </w:rPr>
        <w:t>万元，政府性基金收入</w:t>
      </w:r>
      <w:r>
        <w:rPr>
          <w:rFonts w:hint="eastAsia" w:ascii="仿宋" w:hAnsi="仿宋" w:eastAsia="仿宋" w:cs="Times New Roman"/>
          <w:sz w:val="32"/>
          <w:szCs w:val="32"/>
        </w:rPr>
        <w:t>0</w:t>
      </w:r>
      <w:r>
        <w:rPr>
          <w:rFonts w:hint="eastAsia" w:ascii="仿宋" w:hAnsi="仿宋" w:eastAsia="仿宋" w:cs="黑体"/>
          <w:sz w:val="32"/>
          <w:szCs w:val="32"/>
        </w:rPr>
        <w:t>万元，国有资本经营预算收入</w:t>
      </w:r>
      <w:r>
        <w:rPr>
          <w:rFonts w:hint="eastAsia" w:ascii="仿宋" w:hAnsi="仿宋" w:eastAsia="仿宋" w:cs="Times New Roman"/>
          <w:sz w:val="32"/>
          <w:szCs w:val="32"/>
        </w:rPr>
        <w:t>0</w:t>
      </w:r>
      <w:r>
        <w:rPr>
          <w:rFonts w:hint="eastAsia" w:ascii="仿宋" w:hAnsi="仿宋" w:eastAsia="仿宋" w:cs="黑体"/>
          <w:sz w:val="32"/>
          <w:szCs w:val="32"/>
        </w:rPr>
        <w:t>万元，事业收入</w:t>
      </w:r>
      <w:r>
        <w:rPr>
          <w:rFonts w:hint="eastAsia" w:ascii="仿宋" w:hAnsi="仿宋" w:eastAsia="仿宋" w:cs="Times New Roman"/>
          <w:sz w:val="32"/>
          <w:szCs w:val="32"/>
        </w:rPr>
        <w:t>0</w:t>
      </w:r>
      <w:r>
        <w:rPr>
          <w:rFonts w:hint="eastAsia" w:ascii="仿宋" w:hAnsi="仿宋" w:eastAsia="仿宋" w:cs="黑体"/>
          <w:sz w:val="32"/>
          <w:szCs w:val="32"/>
        </w:rPr>
        <w:t>万元，其他收入</w:t>
      </w:r>
      <w:r>
        <w:rPr>
          <w:rFonts w:hint="eastAsia" w:ascii="仿宋" w:hAnsi="仿宋" w:eastAsia="仿宋" w:cs="Times New Roman"/>
          <w:sz w:val="32"/>
          <w:szCs w:val="32"/>
        </w:rPr>
        <w:t>0</w:t>
      </w:r>
      <w:r>
        <w:rPr>
          <w:rFonts w:hint="eastAsia" w:ascii="仿宋" w:hAnsi="仿宋" w:eastAsia="仿宋" w:cs="黑体"/>
          <w:sz w:val="32"/>
          <w:szCs w:val="32"/>
        </w:rPr>
        <w:t>万元</w:t>
      </w:r>
      <w:r>
        <w:rPr>
          <w:rFonts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香河县统计局部门</w:t>
      </w:r>
      <w:r>
        <w:rPr>
          <w:rFonts w:ascii="仿宋" w:hAnsi="仿宋" w:eastAsia="仿宋" w:cs="Times New Roman"/>
          <w:sz w:val="32"/>
          <w:szCs w:val="32"/>
        </w:rPr>
        <w:t>年度部门预算中支出预算的总体情况。2017年支出预算</w:t>
      </w:r>
      <w:r>
        <w:rPr>
          <w:rFonts w:hint="eastAsia" w:ascii="仿宋" w:hAnsi="仿宋" w:eastAsia="仿宋" w:cs="Times New Roman"/>
          <w:sz w:val="32"/>
          <w:szCs w:val="32"/>
        </w:rPr>
        <w:t>6</w:t>
      </w:r>
      <w:r>
        <w:rPr>
          <w:rFonts w:ascii="仿宋" w:hAnsi="仿宋" w:eastAsia="仿宋" w:cs="Times New Roman"/>
          <w:sz w:val="32"/>
          <w:szCs w:val="32"/>
        </w:rPr>
        <w:t>22.14万元，其中基本支出</w:t>
      </w:r>
      <w:r>
        <w:rPr>
          <w:rFonts w:hint="eastAsia" w:ascii="仿宋" w:hAnsi="仿宋" w:eastAsia="仿宋" w:cs="Times New Roman"/>
          <w:sz w:val="32"/>
          <w:szCs w:val="32"/>
        </w:rPr>
        <w:t>4</w:t>
      </w:r>
      <w:r>
        <w:rPr>
          <w:rFonts w:ascii="仿宋" w:hAnsi="仿宋" w:eastAsia="仿宋" w:cs="Times New Roman"/>
          <w:sz w:val="32"/>
          <w:szCs w:val="32"/>
        </w:rPr>
        <w:t>78.84万元</w:t>
      </w:r>
      <w:r>
        <w:rPr>
          <w:rFonts w:hint="eastAsia" w:ascii="仿宋" w:hAnsi="仿宋" w:eastAsia="仿宋" w:cs="Times New Roman"/>
          <w:sz w:val="32"/>
          <w:szCs w:val="32"/>
        </w:rPr>
        <w:t>,</w:t>
      </w:r>
      <w:r>
        <w:rPr>
          <w:rFonts w:hint="eastAsia" w:ascii="仿宋" w:hAnsi="仿宋" w:eastAsia="仿宋" w:cs="黑体"/>
          <w:sz w:val="32"/>
          <w:szCs w:val="32"/>
        </w:rPr>
        <w:t>包括人员经费</w:t>
      </w:r>
      <w:r>
        <w:rPr>
          <w:rFonts w:hint="eastAsia" w:ascii="仿宋" w:hAnsi="仿宋" w:eastAsia="仿宋" w:cs="Times New Roman"/>
          <w:sz w:val="32"/>
          <w:szCs w:val="32"/>
        </w:rPr>
        <w:t>414.45</w:t>
      </w:r>
      <w:r>
        <w:rPr>
          <w:rFonts w:hint="eastAsia" w:ascii="仿宋" w:hAnsi="仿宋" w:eastAsia="仿宋" w:cs="黑体"/>
          <w:sz w:val="32"/>
          <w:szCs w:val="32"/>
        </w:rPr>
        <w:t>万元，日常公用经费</w:t>
      </w:r>
      <w:r>
        <w:rPr>
          <w:rFonts w:hint="eastAsia" w:ascii="仿宋" w:hAnsi="仿宋" w:eastAsia="仿宋" w:cs="Times New Roman"/>
          <w:sz w:val="32"/>
          <w:szCs w:val="32"/>
        </w:rPr>
        <w:t>64.38</w:t>
      </w:r>
      <w:r>
        <w:rPr>
          <w:rFonts w:hint="eastAsia" w:ascii="仿宋" w:hAnsi="仿宋" w:eastAsia="仿宋" w:cs="黑体"/>
          <w:sz w:val="32"/>
          <w:szCs w:val="32"/>
        </w:rPr>
        <w:t>万元</w:t>
      </w:r>
      <w:r>
        <w:rPr>
          <w:rFonts w:ascii="仿宋" w:hAnsi="仿宋" w:eastAsia="仿宋" w:cs="Times New Roman"/>
          <w:sz w:val="32"/>
          <w:szCs w:val="32"/>
        </w:rPr>
        <w:t>；项目支出</w:t>
      </w:r>
      <w:r>
        <w:rPr>
          <w:rFonts w:hint="eastAsia" w:ascii="仿宋" w:hAnsi="仿宋" w:eastAsia="仿宋" w:cs="Times New Roman"/>
          <w:sz w:val="32"/>
          <w:szCs w:val="32"/>
        </w:rPr>
        <w:t>143.3</w:t>
      </w:r>
      <w:r>
        <w:rPr>
          <w:rFonts w:ascii="仿宋" w:hAnsi="仿宋" w:eastAsia="仿宋" w:cs="Times New Roman"/>
          <w:sz w:val="32"/>
          <w:szCs w:val="32"/>
        </w:rPr>
        <w:t>万元，</w:t>
      </w:r>
      <w:r>
        <w:rPr>
          <w:rFonts w:hint="eastAsia" w:ascii="仿宋" w:hAnsi="仿宋" w:eastAsia="仿宋" w:cs="Times New Roman"/>
          <w:sz w:val="32"/>
          <w:szCs w:val="32"/>
        </w:rPr>
        <w:t>为</w:t>
      </w:r>
      <w:r>
        <w:rPr>
          <w:rFonts w:ascii="仿宋" w:hAnsi="仿宋" w:eastAsia="仿宋" w:cs="Times New Roman"/>
          <w:sz w:val="32"/>
          <w:szCs w:val="32"/>
        </w:rPr>
        <w:t>本级支出</w:t>
      </w:r>
      <w:r>
        <w:rPr>
          <w:rFonts w:hint="eastAsia" w:ascii="仿宋" w:hAnsi="仿宋" w:eastAsia="仿宋" w:cs="Times New Roman"/>
          <w:sz w:val="32"/>
          <w:szCs w:val="32"/>
        </w:rPr>
        <w:t>143.3万元，</w:t>
      </w:r>
      <w:r>
        <w:rPr>
          <w:rFonts w:ascii="仿宋" w:hAnsi="仿宋" w:eastAsia="仿宋" w:cs="Times New Roman"/>
          <w:sz w:val="32"/>
          <w:szCs w:val="32"/>
        </w:rPr>
        <w:t>本级支出和对下补助支出</w:t>
      </w:r>
      <w:r>
        <w:rPr>
          <w:rFonts w:hint="eastAsia" w:ascii="仿宋" w:hAnsi="仿宋" w:eastAsia="仿宋" w:cs="Times New Roman"/>
          <w:sz w:val="32"/>
          <w:szCs w:val="32"/>
        </w:rPr>
        <w:t>0</w:t>
      </w:r>
      <w:r>
        <w:rPr>
          <w:rFonts w:hint="eastAsia" w:ascii="仿宋" w:hAnsi="仿宋" w:eastAsia="仿宋" w:cs="黑体"/>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上缴上级支出</w:t>
      </w:r>
      <w:r>
        <w:rPr>
          <w:rFonts w:hint="eastAsia" w:ascii="仿宋" w:hAnsi="仿宋" w:eastAsia="仿宋" w:cs="Times New Roman"/>
          <w:sz w:val="32"/>
          <w:szCs w:val="32"/>
        </w:rPr>
        <w:t>0</w:t>
      </w:r>
      <w:r>
        <w:rPr>
          <w:rFonts w:ascii="仿宋" w:hAnsi="仿宋" w:eastAsia="仿宋" w:cs="Times New Roman"/>
          <w:sz w:val="32"/>
          <w:szCs w:val="32"/>
        </w:rPr>
        <w:t>万元，其他支出</w:t>
      </w:r>
      <w:r>
        <w:rPr>
          <w:rFonts w:hint="eastAsia" w:ascii="仿宋" w:hAnsi="仿宋" w:eastAsia="仿宋" w:cs="Times New Roman"/>
          <w:sz w:val="32"/>
          <w:szCs w:val="32"/>
        </w:rPr>
        <w:t>0</w:t>
      </w:r>
      <w:r>
        <w:rPr>
          <w:rFonts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2017年预算收支安排</w:t>
      </w:r>
      <w:r>
        <w:rPr>
          <w:rFonts w:hint="eastAsia" w:ascii="仿宋" w:hAnsi="仿宋" w:eastAsia="仿宋" w:cs="Times New Roman"/>
          <w:sz w:val="32"/>
          <w:szCs w:val="32"/>
        </w:rPr>
        <w:t>6</w:t>
      </w:r>
      <w:r>
        <w:rPr>
          <w:rFonts w:ascii="仿宋" w:hAnsi="仿宋" w:eastAsia="仿宋" w:cs="Times New Roman"/>
          <w:sz w:val="32"/>
          <w:szCs w:val="32"/>
        </w:rPr>
        <w:t>22.14万元，较2016年预算</w:t>
      </w:r>
      <w:r>
        <w:rPr>
          <w:rFonts w:hint="eastAsia" w:ascii="仿宋" w:hAnsi="仿宋" w:eastAsia="仿宋" w:cs="Times New Roman"/>
          <w:sz w:val="32"/>
          <w:szCs w:val="32"/>
        </w:rPr>
        <w:t>增加2</w:t>
      </w:r>
      <w:r>
        <w:rPr>
          <w:rFonts w:ascii="仿宋" w:hAnsi="仿宋" w:eastAsia="仿宋" w:cs="Times New Roman"/>
          <w:sz w:val="32"/>
          <w:szCs w:val="32"/>
        </w:rPr>
        <w:t>00.35万元，其中：基本支出</w:t>
      </w:r>
      <w:r>
        <w:rPr>
          <w:rFonts w:hint="eastAsia" w:ascii="仿宋" w:hAnsi="仿宋" w:eastAsia="仿宋" w:cs="Times New Roman"/>
          <w:sz w:val="32"/>
          <w:szCs w:val="32"/>
        </w:rPr>
        <w:t>增加1</w:t>
      </w:r>
      <w:r>
        <w:rPr>
          <w:rFonts w:ascii="仿宋" w:hAnsi="仿宋" w:eastAsia="仿宋" w:cs="Times New Roman"/>
          <w:sz w:val="32"/>
          <w:szCs w:val="32"/>
        </w:rPr>
        <w:t>05.05万元，主要为</w:t>
      </w:r>
      <w:r>
        <w:rPr>
          <w:rFonts w:hint="eastAsia" w:ascii="仿宋" w:hAnsi="仿宋" w:eastAsia="仿宋" w:cs="Times New Roman"/>
          <w:sz w:val="32"/>
          <w:szCs w:val="32"/>
        </w:rPr>
        <w:t>增加人员经费支出</w:t>
      </w:r>
      <w:r>
        <w:rPr>
          <w:rFonts w:ascii="仿宋" w:hAnsi="仿宋" w:eastAsia="仿宋" w:cs="Times New Roman"/>
          <w:sz w:val="32"/>
          <w:szCs w:val="32"/>
        </w:rPr>
        <w:t>；项目支出</w:t>
      </w:r>
      <w:r>
        <w:rPr>
          <w:rFonts w:hint="eastAsia" w:ascii="仿宋" w:hAnsi="仿宋" w:eastAsia="仿宋" w:cs="Times New Roman"/>
          <w:sz w:val="32"/>
          <w:szCs w:val="32"/>
        </w:rPr>
        <w:t>增加9</w:t>
      </w:r>
      <w:r>
        <w:rPr>
          <w:rFonts w:ascii="仿宋" w:hAnsi="仿宋" w:eastAsia="仿宋" w:cs="Times New Roman"/>
          <w:sz w:val="32"/>
          <w:szCs w:val="32"/>
        </w:rPr>
        <w:t>5.3万元，主要为</w:t>
      </w:r>
      <w:r>
        <w:rPr>
          <w:rFonts w:hint="eastAsia" w:ascii="仿宋" w:hAnsi="仿宋" w:eastAsia="仿宋" w:cs="Times New Roman"/>
          <w:sz w:val="32"/>
          <w:szCs w:val="32"/>
        </w:rPr>
        <w:t>农业普查</w:t>
      </w:r>
      <w:r>
        <w:rPr>
          <w:rFonts w:ascii="仿宋" w:hAnsi="仿宋" w:eastAsia="仿宋" w:cs="Times New Roman"/>
          <w:sz w:val="32"/>
          <w:szCs w:val="32"/>
        </w:rPr>
        <w:t>项目支出。</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机关</w:t>
      </w:r>
      <w:r>
        <w:rPr>
          <w:rFonts w:hint="eastAsia" w:ascii="仿宋" w:hAnsi="仿宋" w:eastAsia="仿宋" w:cs="Times New Roman"/>
          <w:sz w:val="32"/>
          <w:szCs w:val="32"/>
        </w:rPr>
        <w:t>运行经费共计安排6</w:t>
      </w:r>
      <w:r>
        <w:rPr>
          <w:rFonts w:ascii="仿宋" w:hAnsi="仿宋" w:eastAsia="仿宋" w:cs="Times New Roman"/>
          <w:sz w:val="32"/>
          <w:szCs w:val="32"/>
        </w:rPr>
        <w:t>4.38</w:t>
      </w:r>
      <w:r>
        <w:rPr>
          <w:rFonts w:hint="eastAsia" w:ascii="仿宋" w:hAnsi="仿宋" w:eastAsia="仿宋" w:cs="Times New Roman"/>
          <w:sz w:val="32"/>
          <w:szCs w:val="32"/>
        </w:rPr>
        <w:t>万元</w:t>
      </w:r>
      <w:r>
        <w:rPr>
          <w:rFonts w:ascii="仿宋" w:hAnsi="仿宋" w:eastAsia="仿宋" w:cs="Times New Roman"/>
          <w:sz w:val="32"/>
          <w:szCs w:val="32"/>
        </w:rPr>
        <w:t>，主要用于</w:t>
      </w:r>
      <w:r>
        <w:rPr>
          <w:rFonts w:hint="eastAsia" w:ascii="仿宋" w:hAnsi="仿宋" w:eastAsia="仿宋" w:cs="Times New Roman"/>
          <w:sz w:val="32"/>
          <w:szCs w:val="32"/>
        </w:rPr>
        <w:t>统计局</w:t>
      </w:r>
      <w:r>
        <w:rPr>
          <w:rFonts w:ascii="仿宋" w:hAnsi="仿宋" w:eastAsia="仿宋" w:cs="Times New Roman"/>
          <w:sz w:val="32"/>
          <w:szCs w:val="32"/>
        </w:rPr>
        <w:t>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仿宋" w:hAnsi="仿宋" w:eastAsia="仿宋" w:cs="Times New Roman"/>
          <w:sz w:val="32"/>
          <w:szCs w:val="32"/>
          <w:shd w:val="clear" w:color="auto" w:fill="000000" w:themeFill="text1"/>
        </w:rPr>
      </w:pPr>
      <w:r>
        <w:rPr>
          <w:rFonts w:ascii="仿宋" w:hAnsi="仿宋" w:eastAsia="仿宋" w:cs="Times New Roman"/>
          <w:sz w:val="32"/>
          <w:szCs w:val="32"/>
        </w:rPr>
        <w:t>2017年，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rPr>
        <w:t>5</w:t>
      </w:r>
      <w:r>
        <w:rPr>
          <w:rFonts w:ascii="仿宋" w:hAnsi="仿宋" w:eastAsia="仿宋" w:cs="Times New Roman"/>
          <w:sz w:val="32"/>
          <w:szCs w:val="32"/>
        </w:rPr>
        <w:t>.17万元，其中因公出国（境）费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4.49</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万元，公务用车运行费</w:t>
      </w:r>
      <w:r>
        <w:rPr>
          <w:rFonts w:hint="eastAsia" w:ascii="仿宋" w:hAnsi="仿宋" w:eastAsia="仿宋" w:cs="Times New Roman"/>
          <w:sz w:val="32"/>
          <w:szCs w:val="32"/>
        </w:rPr>
        <w:t>4.49</w:t>
      </w:r>
      <w:r>
        <w:rPr>
          <w:rFonts w:ascii="仿宋" w:hAnsi="仿宋" w:eastAsia="仿宋" w:cs="Times New Roman"/>
          <w:sz w:val="32"/>
          <w:szCs w:val="32"/>
        </w:rPr>
        <w:t>万元</w:t>
      </w:r>
      <w:r>
        <w:rPr>
          <w:rFonts w:hint="eastAsia" w:ascii="仿宋" w:hAnsi="仿宋" w:eastAsia="仿宋" w:cs="Times New Roman"/>
          <w:sz w:val="32"/>
          <w:szCs w:val="32"/>
          <w:lang w:eastAsia="zh-CN"/>
        </w:rPr>
        <w:t>）</w:t>
      </w:r>
      <w:bookmarkStart w:id="3" w:name="_GoBack"/>
      <w:bookmarkEnd w:id="3"/>
      <w:r>
        <w:rPr>
          <w:rFonts w:ascii="仿宋" w:hAnsi="仿宋" w:eastAsia="仿宋" w:cs="Times New Roman"/>
          <w:sz w:val="32"/>
          <w:szCs w:val="32"/>
        </w:rPr>
        <w:t>；公务接待费</w:t>
      </w:r>
      <w:r>
        <w:rPr>
          <w:rFonts w:hint="eastAsia" w:ascii="仿宋" w:hAnsi="仿宋" w:eastAsia="仿宋" w:cs="Times New Roman"/>
          <w:sz w:val="32"/>
          <w:szCs w:val="32"/>
        </w:rPr>
        <w:t>0.68</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ascii="仿宋" w:hAnsi="仿宋" w:eastAsia="仿宋" w:cs="Times New Roman"/>
          <w:sz w:val="32"/>
          <w:szCs w:val="32"/>
        </w:rPr>
        <w:t>与2016年持平。</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宋体"/>
          <w:sz w:val="32"/>
          <w:szCs w:val="32"/>
        </w:rPr>
        <w:t>、</w:t>
      </w:r>
      <w:r>
        <w:rPr>
          <w:rFonts w:hint="eastAsia" w:ascii="仿宋" w:hAnsi="仿宋" w:eastAsia="仿宋" w:cs="Times New Roman"/>
          <w:sz w:val="32"/>
          <w:szCs w:val="32"/>
        </w:rPr>
        <w:t>完成全县年度数据的测算审核认定工作</w:t>
      </w:r>
      <w:r>
        <w:rPr>
          <w:rFonts w:ascii="仿宋" w:hAnsi="仿宋" w:eastAsia="仿宋" w:cs="Times New Roman"/>
          <w:sz w:val="32"/>
          <w:szCs w:val="32"/>
        </w:rPr>
        <w:t>;</w:t>
      </w:r>
      <w:r>
        <w:rPr>
          <w:rFonts w:hint="eastAsia" w:ascii="仿宋" w:hAnsi="仿宋" w:eastAsia="仿宋" w:cs="Times New Roman"/>
          <w:sz w:val="32"/>
          <w:szCs w:val="32"/>
        </w:rPr>
        <w:t>完成必要分析，对相关经济决策提供重要依据。</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2、完成全县年度、季度数据及各乡镇年度数据的测算审核认定工作；完成必要分析，对相关经济决策提供重要依据。</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、研究制定资料开发应用计划，进行业务培训，组织开展深层次课题研究，发布普查主要数据公报，完成普查工作总结和表彰。</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、按照国家统计局、财政部关于印发《关于统计部门周期性普查和大型调查经费开支问题的暂行规定》，分年度完成普查工作，确保普查的顺利完成。</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5、组织开展专项统计调查工作，了解基层情况和动态提供统计信息和咨询建议。</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、保障全县统计信息自动化系统和统计数据库系统运行安全平稳。保证统计数据的顺利报送汇总。</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7、保障统计信息化建设、统计执法、统计人员上岗资格认定、职称考试等全县统计专业技术队伍建设。</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、开展统计执法检查和培训工作，防范统计违法现象的发生；拟定全县统计教育培训制度、规划等，统一归口管理指导全县统计教育培训工作；</w:t>
      </w:r>
      <w:r>
        <w:rPr>
          <w:rFonts w:ascii="仿宋" w:hAnsi="仿宋" w:eastAsia="仿宋"/>
          <w:sz w:val="32"/>
          <w:szCs w:val="32"/>
        </w:rPr>
        <w:t xml:space="preserve"> </w:t>
      </w:r>
      <w:r>
        <w:rPr>
          <w:rFonts w:hint="eastAsia" w:ascii="仿宋" w:hAnsi="仿宋" w:eastAsia="仿宋"/>
          <w:sz w:val="32"/>
          <w:szCs w:val="32"/>
        </w:rPr>
        <w:t>开展全县统计专业技术人员职称资格考试和评定工作。</w:t>
      </w:r>
    </w:p>
    <w:p>
      <w:pPr>
        <w:autoSpaceDE w:val="0"/>
        <w:autoSpaceDN w:val="0"/>
        <w:adjustRightInd w:val="0"/>
        <w:ind w:left="198" w:firstLine="640" w:firstLineChars="200"/>
        <w:jc w:val="left"/>
        <w:rPr>
          <w:rFonts w:ascii="仿宋" w:hAnsi="仿宋" w:eastAsia="仿宋" w:cs="Times New Roman"/>
          <w:sz w:val="32"/>
          <w:szCs w:val="32"/>
          <w:highlight w:val="red"/>
        </w:rPr>
      </w:pPr>
      <w:r>
        <w:rPr>
          <w:rFonts w:ascii="仿宋" w:hAnsi="仿宋" w:eastAsia="仿宋"/>
          <w:sz w:val="32"/>
          <w:szCs w:val="32"/>
        </w:rPr>
        <w:t>9</w:t>
      </w:r>
      <w:r>
        <w:rPr>
          <w:rFonts w:hint="eastAsia" w:ascii="仿宋" w:hAnsi="仿宋" w:eastAsia="仿宋"/>
          <w:sz w:val="32"/>
          <w:szCs w:val="32"/>
        </w:rPr>
        <w:t>、保障机关正常运转。</w:t>
      </w:r>
    </w:p>
    <w:p>
      <w:pPr>
        <w:ind w:firstLine="643" w:firstLineChars="200"/>
        <w:jc w:val="left"/>
        <w:outlineLvl w:val="0"/>
        <w:rPr>
          <w:rFonts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bookmarkStart w:id="1" w:name="_Toc478721669"/>
      <w:r>
        <w:rPr>
          <w:rFonts w:hint="eastAsia" w:ascii="方正小标宋_GBK" w:hAnsi="Times New Roman" w:eastAsia="方正小标宋_GBK" w:cs="Times New Roman"/>
          <w:sz w:val="32"/>
          <w:szCs w:val="24"/>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ascii="方正小标宋_GBK" w:hAnsi="Times New Roman" w:eastAsia="方正小标宋_GBK" w:cs="Times New Roman"/>
                <w:sz w:val="24"/>
                <w:szCs w:val="24"/>
              </w:rPr>
              <w:t>410</w:t>
            </w:r>
            <w:r>
              <w:rPr>
                <w:rFonts w:hint="eastAsia" w:ascii="方正小标宋_GBK" w:hAnsi="Times New Roman" w:eastAsia="方正小标宋_GBK" w:cs="Times New Roman"/>
                <w:sz w:val="24"/>
                <w:szCs w:val="24"/>
              </w:rPr>
              <w:t>县统计局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国民经济核算</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在全县开展</w:t>
            </w:r>
            <w:r>
              <w:rPr>
                <w:rFonts w:ascii="方正书宋_GBK" w:hAnsi="Times New Roman" w:eastAsia="方正书宋_GBK" w:cs="Times New Roman"/>
                <w:szCs w:val="24"/>
              </w:rPr>
              <w:t>GDP</w:t>
            </w:r>
            <w:r>
              <w:rPr>
                <w:rFonts w:hint="eastAsia" w:ascii="方正书宋_GBK" w:hAnsi="Times New Roman" w:eastAsia="方正书宋_GBK" w:cs="Times New Roman"/>
                <w:szCs w:val="24"/>
              </w:rPr>
              <w:t>核算、资产负债核算、资金流量核算工作。</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完成全县年度数据的测算审核认定工作</w:t>
            </w:r>
            <w:r>
              <w:rPr>
                <w:rFonts w:ascii="方正书宋_GBK" w:hAnsi="Times New Roman" w:eastAsia="方正书宋_GBK" w:cs="Times New Roman"/>
                <w:szCs w:val="24"/>
              </w:rPr>
              <w:t>;</w:t>
            </w:r>
            <w:r>
              <w:rPr>
                <w:rFonts w:hint="eastAsia" w:ascii="方正书宋_GBK" w:hAnsi="Times New Roman" w:eastAsia="方正书宋_GBK" w:cs="Times New Roman"/>
                <w:szCs w:val="24"/>
              </w:rPr>
              <w:t>完成必要分析，对相关经济决策提供重要依据。</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　　国民经济核算</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贯彻执行国家国民经济核算制度，组织实施全县国民经济核算制度和投入产出调查，核算全县生产总值，整理、测算和提供国民经济核算资料，监督管理全县国民经济核算工作。</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完成全县年度、季度数据及各乡镇年度数据的测算审核认定工作；完成必要分析，对相关经济决策提供重要依据。</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综合数据统计</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60%</w:t>
            </w:r>
            <w:r>
              <w:rPr>
                <w:rFonts w:hint="eastAsia" w:ascii="方正书宋_GBK" w:hAnsi="Times New Roman" w:eastAsia="方正书宋_GBK" w:cs="Times New Roman"/>
                <w:szCs w:val="24"/>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统计调查</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127</w:t>
            </w:r>
            <w:r>
              <w:rPr>
                <w:rFonts w:hint="eastAsia" w:ascii="方正书宋_GBK" w:hAnsi="Times New Roman" w:eastAsia="方正书宋_GBK" w:cs="Times New Roman"/>
                <w:szCs w:val="24"/>
              </w:rPr>
              <w:t>.</w:t>
            </w:r>
            <w:r>
              <w:rPr>
                <w:rFonts w:ascii="方正书宋_GBK" w:hAnsi="Times New Roman" w:eastAsia="方正书宋_GBK" w:cs="Times New Roman"/>
                <w:szCs w:val="24"/>
              </w:rPr>
              <w:t>70</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组织国情国力普查和工业、农业、社会、教育、节能、卫生等涉及相关行业的专项统计调查监测，收集、整理统计数据，提供咨询建议</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研究制定资料开发应用计划，进行业务培训，组织开展深层次课题研究，发布普查主要数据公报，完成普查工作总结和表彰。</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　　国情国力普查</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98</w:t>
            </w:r>
            <w:r>
              <w:rPr>
                <w:rFonts w:hint="eastAsia" w:ascii="方正书宋_GBK" w:hAnsi="Times New Roman" w:eastAsia="方正书宋_GBK" w:cs="Times New Roman"/>
                <w:szCs w:val="24"/>
              </w:rPr>
              <w:t>.</w:t>
            </w:r>
            <w:r>
              <w:rPr>
                <w:rFonts w:ascii="方正书宋_GBK" w:hAnsi="Times New Roman" w:eastAsia="方正书宋_GBK" w:cs="Times New Roman"/>
                <w:szCs w:val="24"/>
              </w:rPr>
              <w:t>7</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组织完成国家部署的国情国力普查及重要调查任务，研究提出重大县情县力普查和抽样调查计划并组织实施，汇总、整理和提供有关县情县力方面的统计数据。</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按照国家统计局、财政部关于印发《关于统计部门周期性普查和大型调查经费开支问题的暂行规定》，分年度完成普查工作，确保普查的顺利完成。</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国情国力普查</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60%</w:t>
            </w:r>
            <w:r>
              <w:rPr>
                <w:rFonts w:hint="eastAsia" w:ascii="方正书宋_GBK" w:hAnsi="Times New Roman" w:eastAsia="方正书宋_GBK" w:cs="Times New Roman"/>
                <w:szCs w:val="24"/>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　　专项统计调查</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29</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根据部门职责及《中华人民共和国统计法》和国家统计局、县政府有关文件要求，组织实施涉及相关行业数据的专项统计调查。</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组织开展专项统计调查工作，了解基层情况和动态提供统计信息和咨询建议。</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专项统计调查</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60%</w:t>
            </w:r>
            <w:r>
              <w:rPr>
                <w:rFonts w:hint="eastAsia" w:ascii="方正书宋_GBK" w:hAnsi="Times New Roman" w:eastAsia="方正书宋_GBK" w:cs="Times New Roman"/>
                <w:szCs w:val="24"/>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　　统计数据采集决策咨询</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管理全县统计数据库网络；指导全县统计信息化系统建设。组织全县统计系统各级各专业实施以企业一套表制度为核心的统计四大工程：建立并管理全县统计信息自动化系统和统计数据库系统。</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保障全县统计信息自动化系统和统计数据库系统运行安全平稳。保证统计数据的顺利报送汇总。</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信息化建设</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60%</w:t>
            </w:r>
            <w:r>
              <w:rPr>
                <w:rFonts w:hint="eastAsia" w:ascii="方正书宋_GBK" w:hAnsi="Times New Roman" w:eastAsia="方正书宋_GBK" w:cs="Times New Roman"/>
                <w:szCs w:val="24"/>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统计政务管理</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15</w:t>
            </w:r>
            <w:r>
              <w:rPr>
                <w:rFonts w:hint="eastAsia" w:ascii="方正书宋_GBK" w:hAnsi="Times New Roman" w:eastAsia="方正书宋_GBK" w:cs="Times New Roman"/>
                <w:szCs w:val="24"/>
              </w:rPr>
              <w:t>.</w:t>
            </w:r>
            <w:r>
              <w:rPr>
                <w:rFonts w:ascii="方正书宋_GBK" w:hAnsi="Times New Roman" w:eastAsia="方正书宋_GBK" w:cs="Times New Roman"/>
                <w:szCs w:val="24"/>
              </w:rPr>
              <w:t>60</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保障机关日常运转，健全全县统计法制建设，指导全县统计专业技术队伍建设。</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保障统计信息化建设、统计执法、统计人员上岗资格认定、职称考试等全县统计专业技术队伍建设。</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　　综合业务管理</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6</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健全全县统计法制建设，严格查处统计违法现象，开展统计基层基础建设，指导全县统计专业技术队伍建设，配合国家统计局组织管理统计从业资格认定和持证上岗工作，协助有关部门组织管理统计专业技术资格。</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开展统计执法检查和培训工作，防范统计违法现象的发生；拟定全县统计教育培训制度、规划等，统一归口管理指导全县统计教育培训工作；</w:t>
            </w:r>
            <w:r>
              <w:rPr>
                <w:rFonts w:ascii="方正书宋_GBK" w:hAnsi="Times New Roman" w:eastAsia="方正书宋_GBK" w:cs="Times New Roman"/>
                <w:szCs w:val="24"/>
              </w:rPr>
              <w:t xml:space="preserve"> </w:t>
            </w:r>
            <w:r>
              <w:rPr>
                <w:rFonts w:hint="eastAsia" w:ascii="方正书宋_GBK" w:hAnsi="Times New Roman" w:eastAsia="方正书宋_GBK" w:cs="Times New Roman"/>
                <w:szCs w:val="24"/>
              </w:rPr>
              <w:t>开展全县统计专业技术人员职称资格考试和评定工作。</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统计法制建设</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60%</w:t>
            </w:r>
            <w:r>
              <w:rPr>
                <w:rFonts w:hint="eastAsia" w:ascii="方正书宋_GBK" w:hAnsi="Times New Roman" w:eastAsia="方正书宋_GBK" w:cs="Times New Roman"/>
                <w:szCs w:val="24"/>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　　综合事务管理</w:t>
            </w:r>
          </w:p>
        </w:tc>
        <w:tc>
          <w:tcPr>
            <w:tcW w:w="1276"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hAnsi="Times New Roman" w:eastAsia="方正书宋_GBK" w:cs="Times New Roman"/>
                <w:szCs w:val="24"/>
              </w:rPr>
              <w:t>9</w:t>
            </w:r>
            <w:r>
              <w:rPr>
                <w:rFonts w:hint="eastAsia" w:ascii="方正书宋_GBK" w:hAnsi="Times New Roman" w:eastAsia="方正书宋_GBK" w:cs="Times New Roman"/>
                <w:szCs w:val="24"/>
              </w:rPr>
              <w:t>.</w:t>
            </w:r>
            <w:r>
              <w:rPr>
                <w:rFonts w:ascii="方正书宋_GBK" w:hAnsi="Times New Roman" w:eastAsia="方正书宋_GBK" w:cs="Times New Roman"/>
                <w:szCs w:val="24"/>
              </w:rPr>
              <w:t>6</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保障机关日常运转，开展纪检监察、计财内审、人事管理、老干部管理、党建、后勤、行政许可事务性管理等工作。</w:t>
            </w:r>
          </w:p>
        </w:tc>
        <w:tc>
          <w:tcPr>
            <w:tcW w:w="2976"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保障机关正常运转。</w:t>
            </w:r>
          </w:p>
        </w:tc>
        <w:tc>
          <w:tcPr>
            <w:tcW w:w="1417"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hAnsi="Times New Roman" w:eastAsia="方正书宋_GBK" w:cs="Times New Roman"/>
                <w:szCs w:val="24"/>
              </w:rPr>
              <w:t>综合事务保障率</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70%</w:t>
            </w:r>
          </w:p>
        </w:tc>
        <w:tc>
          <w:tcPr>
            <w:tcW w:w="737" w:type="dxa"/>
            <w:shd w:val="clear" w:color="auto" w:fill="auto"/>
            <w:vAlign w:val="center"/>
          </w:tcPr>
          <w:p>
            <w:pPr>
              <w:spacing w:line="300" w:lineRule="exact"/>
              <w:jc w:val="center"/>
              <w:rPr>
                <w:rFonts w:ascii="方正书宋_GBK" w:hAnsi="Times New Roman" w:eastAsia="方正书宋_GBK" w:cs="Times New Roman"/>
                <w:szCs w:val="24"/>
              </w:rPr>
            </w:pPr>
            <w:r>
              <w:rPr>
                <w:rFonts w:ascii="方正书宋_GBK" w:hAnsi="Times New Roman" w:eastAsia="方正书宋_GBK" w:cs="Times New Roman"/>
                <w:szCs w:val="24"/>
              </w:rPr>
              <w:t>60%</w:t>
            </w:r>
          </w:p>
        </w:tc>
      </w:tr>
    </w:tbl>
    <w:p>
      <w:pPr>
        <w:spacing w:line="300" w:lineRule="exact"/>
        <w:jc w:val="left"/>
        <w:outlineLvl w:val="0"/>
        <w:rPr>
          <w:rFonts w:ascii="Times New Roman" w:hAnsi="Times New Roman" w:eastAsia="宋体" w:cs="Times New Roman"/>
          <w:szCs w:val="24"/>
        </w:rPr>
        <w:sectPr>
          <w:pgSz w:w="16839" w:h="11907" w:orient="landscape"/>
          <w:pgMar w:top="1020" w:right="1361" w:bottom="1020" w:left="1361" w:header="851" w:footer="992" w:gutter="0"/>
          <w:cols w:space="425" w:num="1"/>
          <w:docGrid w:type="lines" w:linePitch="312" w:charSpace="0"/>
        </w:sectPr>
      </w:pPr>
    </w:p>
    <w:p>
      <w:pPr>
        <w:jc w:val="center"/>
        <w:outlineLvl w:val="0"/>
        <w:rPr>
          <w:rFonts w:ascii="方正小标宋_GBK" w:hAnsi="Times New Roman" w:eastAsia="方正小标宋_GBK" w:cs="Times New Roman"/>
          <w:sz w:val="32"/>
          <w:szCs w:val="24"/>
        </w:rPr>
      </w:pPr>
    </w:p>
    <w:bookmarkEnd w:id="0"/>
    <w:p>
      <w:pPr>
        <w:ind w:firstLine="640"/>
        <w:rPr>
          <w:rFonts w:ascii="方正小标宋_GBK" w:hAnsi="Times New Roman" w:eastAsia="方正小标宋_GBK" w:cs="Times New Roman"/>
          <w:sz w:val="32"/>
          <w:szCs w:val="24"/>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autoSpaceDE w:val="0"/>
        <w:autoSpaceDN w:val="0"/>
        <w:adjustRightInd w:val="0"/>
        <w:ind w:left="198" w:firstLine="640" w:firstLineChars="200"/>
        <w:jc w:val="left"/>
        <w:rPr>
          <w:rFonts w:ascii="仿宋" w:hAnsi="仿宋" w:eastAsia="仿宋" w:cs="Times New Roman"/>
          <w:sz w:val="32"/>
          <w:szCs w:val="32"/>
        </w:rPr>
      </w:pPr>
      <w:bookmarkStart w:id="2" w:name="_Toc471398468"/>
      <w:r>
        <w:rPr>
          <w:rFonts w:cs="Times New Roman" w:asciiTheme="minorEastAsia" w:hAnsiTheme="minorEastAsia"/>
          <w:sz w:val="32"/>
          <w:szCs w:val="32"/>
        </w:rPr>
        <w:t xml:space="preserve">  </w:t>
      </w:r>
      <w:r>
        <w:rPr>
          <w:rFonts w:ascii="仿宋" w:hAnsi="仿宋" w:eastAsia="仿宋" w:cs="Times New Roman"/>
          <w:sz w:val="32"/>
          <w:szCs w:val="32"/>
        </w:rPr>
        <w:t xml:space="preserve"> 2017年，</w:t>
      </w:r>
      <w:r>
        <w:rPr>
          <w:rFonts w:hint="eastAsia" w:ascii="仿宋" w:hAnsi="仿宋" w:eastAsia="仿宋" w:cs="Times New Roman"/>
          <w:sz w:val="32"/>
          <w:szCs w:val="32"/>
        </w:rPr>
        <w:t>本部门没有</w:t>
      </w:r>
      <w:r>
        <w:rPr>
          <w:rFonts w:ascii="仿宋" w:hAnsi="仿宋" w:eastAsia="仿宋" w:cs="Times New Roman"/>
          <w:sz w:val="32"/>
          <w:szCs w:val="32"/>
        </w:rPr>
        <w:t>安排政府采购预</w:t>
      </w:r>
      <w:r>
        <w:rPr>
          <w:rFonts w:hint="eastAsia" w:ascii="仿宋" w:hAnsi="仿宋" w:eastAsia="仿宋" w:cs="Times New Roman"/>
          <w:sz w:val="32"/>
          <w:szCs w:val="32"/>
        </w:rPr>
        <w:t>算。</w:t>
      </w:r>
    </w:p>
    <w:p>
      <w:pPr>
        <w:outlineLvl w:val="0"/>
        <w:rPr>
          <w:rFonts w:ascii="仿宋" w:hAnsi="仿宋" w:eastAsia="仿宋" w:cs="Times New Roman"/>
          <w:sz w:val="32"/>
          <w:szCs w:val="32"/>
        </w:rPr>
      </w:pPr>
    </w:p>
    <w:bookmarkEnd w:id="2"/>
    <w:p>
      <w:pPr>
        <w:ind w:firstLine="640"/>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b/>
          <w:sz w:val="32"/>
          <w:szCs w:val="32"/>
          <w:highlight w:val="red"/>
        </w:rPr>
      </w:pPr>
      <w:r>
        <w:rPr>
          <w:rFonts w:hint="eastAsia" w:ascii="仿宋" w:hAnsi="仿宋" w:eastAsia="仿宋" w:cs="Times New Roman"/>
          <w:sz w:val="32"/>
          <w:szCs w:val="32"/>
        </w:rPr>
        <w:t>香河县统计局上年末固定资产金额为4</w:t>
      </w:r>
      <w:r>
        <w:rPr>
          <w:rFonts w:ascii="仿宋" w:hAnsi="仿宋" w:eastAsia="仿宋" w:cs="Times New Roman"/>
          <w:sz w:val="32"/>
          <w:szCs w:val="32"/>
        </w:rPr>
        <w:t>2.91</w:t>
      </w:r>
      <w:r>
        <w:rPr>
          <w:rFonts w:hint="eastAsia" w:ascii="仿宋" w:hAnsi="仿宋" w:eastAsia="仿宋" w:cs="Times New Roman"/>
          <w:sz w:val="32"/>
          <w:szCs w:val="32"/>
        </w:rPr>
        <w:t>万元。</w:t>
      </w:r>
    </w:p>
    <w:p>
      <w:pPr>
        <w:ind w:firstLine="640"/>
        <w:rPr>
          <w:rFonts w:ascii="仿宋" w:hAnsi="仿宋" w:eastAsia="仿宋" w:cs="Times New Roman"/>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编制部门：香河县统计局部门</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26.21</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autoSpaceDE w:val="0"/>
        <w:autoSpaceDN w:val="0"/>
        <w:adjustRightInd w:val="0"/>
        <w:jc w:val="left"/>
        <w:rPr>
          <w:rFonts w:ascii="仿宋" w:hAnsi="仿宋" w:eastAsia="仿宋" w:cs="Times New Roman"/>
          <w:b/>
          <w:bCs/>
          <w:color w:val="000000"/>
          <w:kern w:val="0"/>
          <w:sz w:val="32"/>
          <w:szCs w:val="32"/>
        </w:rPr>
      </w:pPr>
      <w:r>
        <w:rPr>
          <w:rFonts w:hint="eastAsia" w:ascii="仿宋" w:hAnsi="仿宋" w:eastAsia="仿宋" w:cs="Times New Roman"/>
          <w:b/>
          <w:bCs/>
          <w:color w:val="000000"/>
          <w:kern w:val="0"/>
          <w:sz w:val="32"/>
          <w:szCs w:val="32"/>
        </w:rPr>
        <w:t xml:space="preserve">    1</w:t>
      </w:r>
      <w:r>
        <w:rPr>
          <w:rFonts w:hint="eastAsia" w:ascii="仿宋" w:hAnsi="仿宋" w:eastAsia="仿宋" w:cs="FZFangSong-Z02"/>
          <w:color w:val="000000"/>
          <w:kern w:val="0"/>
          <w:sz w:val="32"/>
          <w:szCs w:val="32"/>
        </w:rPr>
        <w:t>、一般公共预算拨款收入：指市级财政当年拨付的资金。</w:t>
      </w:r>
    </w:p>
    <w:p>
      <w:pPr>
        <w:autoSpaceDE w:val="0"/>
        <w:autoSpaceDN w:val="0"/>
        <w:adjustRightInd w:val="0"/>
        <w:jc w:val="left"/>
        <w:rPr>
          <w:rFonts w:ascii="仿宋" w:hAnsi="仿宋" w:eastAsia="仿宋" w:cs="FZFangSong-Z02"/>
          <w:color w:val="000000"/>
          <w:kern w:val="0"/>
          <w:sz w:val="32"/>
          <w:szCs w:val="32"/>
        </w:rPr>
      </w:pPr>
      <w:r>
        <w:rPr>
          <w:rFonts w:hint="eastAsia" w:ascii="仿宋" w:hAnsi="仿宋" w:eastAsia="仿宋" w:cs="Times New Roman"/>
          <w:b/>
          <w:bCs/>
          <w:color w:val="000000"/>
          <w:kern w:val="0"/>
          <w:sz w:val="32"/>
          <w:szCs w:val="32"/>
        </w:rPr>
        <w:t xml:space="preserve">    2</w:t>
      </w:r>
      <w:r>
        <w:rPr>
          <w:rFonts w:hint="eastAsia" w:ascii="仿宋" w:hAnsi="仿宋" w:eastAsia="仿宋" w:cs="FZFangSong-Z02"/>
          <w:color w:val="000000"/>
          <w:kern w:val="0"/>
          <w:sz w:val="32"/>
          <w:szCs w:val="32"/>
        </w:rPr>
        <w:t>、事业收入：指事业单位开展专业业务活动及辅助活动所取得的收入。</w:t>
      </w:r>
    </w:p>
    <w:p>
      <w:pPr>
        <w:autoSpaceDE w:val="0"/>
        <w:autoSpaceDN w:val="0"/>
        <w:adjustRightInd w:val="0"/>
        <w:jc w:val="left"/>
        <w:rPr>
          <w:rFonts w:ascii="仿宋" w:hAnsi="仿宋" w:eastAsia="仿宋" w:cs="FZFangSong-Z02"/>
          <w:color w:val="000000"/>
          <w:kern w:val="0"/>
          <w:sz w:val="32"/>
          <w:szCs w:val="32"/>
        </w:rPr>
      </w:pPr>
      <w:r>
        <w:rPr>
          <w:rFonts w:hint="eastAsia" w:ascii="仿宋" w:hAnsi="仿宋" w:eastAsia="仿宋" w:cs="Times New Roman"/>
          <w:b/>
          <w:bCs/>
          <w:color w:val="000000"/>
          <w:kern w:val="0"/>
          <w:sz w:val="32"/>
          <w:szCs w:val="32"/>
        </w:rPr>
        <w:t xml:space="preserve">    3</w:t>
      </w:r>
      <w:r>
        <w:rPr>
          <w:rFonts w:hint="eastAsia" w:ascii="仿宋" w:hAnsi="仿宋" w:eastAsia="仿宋" w:cs="FZFangSong-Z02"/>
          <w:color w:val="000000"/>
          <w:kern w:val="0"/>
          <w:sz w:val="32"/>
          <w:szCs w:val="32"/>
        </w:rPr>
        <w:t>、其他收入：指除上述</w:t>
      </w:r>
      <w:r>
        <w:rPr>
          <w:rFonts w:hint="eastAsia" w:ascii="仿宋" w:hAnsi="仿宋" w:eastAsia="仿宋" w:cs="Times New Roman"/>
          <w:color w:val="000000"/>
          <w:kern w:val="0"/>
          <w:sz w:val="32"/>
          <w:szCs w:val="32"/>
        </w:rPr>
        <w:t>“</w:t>
      </w:r>
      <w:r>
        <w:rPr>
          <w:rFonts w:hint="eastAsia" w:ascii="仿宋" w:hAnsi="仿宋" w:eastAsia="仿宋" w:cs="FZFangSong-Z02"/>
          <w:color w:val="000000"/>
          <w:kern w:val="0"/>
          <w:sz w:val="32"/>
          <w:szCs w:val="32"/>
        </w:rPr>
        <w:t>财政拨款收入</w:t>
      </w:r>
      <w:r>
        <w:rPr>
          <w:rFonts w:hint="eastAsia" w:ascii="仿宋" w:hAnsi="仿宋" w:eastAsia="仿宋" w:cs="Times New Roman"/>
          <w:color w:val="000000"/>
          <w:kern w:val="0"/>
          <w:sz w:val="32"/>
          <w:szCs w:val="32"/>
        </w:rPr>
        <w:t>”</w:t>
      </w:r>
      <w:r>
        <w:rPr>
          <w:rFonts w:hint="eastAsia" w:ascii="仿宋" w:hAnsi="仿宋" w:eastAsia="仿宋" w:cs="FZFangSong-Z02"/>
          <w:color w:val="000000"/>
          <w:kern w:val="0"/>
          <w:sz w:val="32"/>
          <w:szCs w:val="32"/>
        </w:rPr>
        <w:t>、</w:t>
      </w:r>
      <w:r>
        <w:rPr>
          <w:rFonts w:hint="eastAsia" w:ascii="仿宋" w:hAnsi="仿宋" w:eastAsia="仿宋" w:cs="Times New Roman"/>
          <w:color w:val="000000"/>
          <w:kern w:val="0"/>
          <w:sz w:val="32"/>
          <w:szCs w:val="32"/>
        </w:rPr>
        <w:t>“</w:t>
      </w:r>
      <w:r>
        <w:rPr>
          <w:rFonts w:hint="eastAsia" w:ascii="仿宋" w:hAnsi="仿宋" w:eastAsia="仿宋" w:cs="FZFangSong-Z02"/>
          <w:color w:val="000000"/>
          <w:kern w:val="0"/>
          <w:sz w:val="32"/>
          <w:szCs w:val="32"/>
        </w:rPr>
        <w:t>事业收入</w:t>
      </w:r>
      <w:r>
        <w:rPr>
          <w:rFonts w:hint="eastAsia" w:ascii="仿宋" w:hAnsi="仿宋" w:eastAsia="仿宋" w:cs="Times New Roman"/>
          <w:color w:val="000000"/>
          <w:kern w:val="0"/>
          <w:sz w:val="32"/>
          <w:szCs w:val="32"/>
        </w:rPr>
        <w:t>”</w:t>
      </w:r>
      <w:r>
        <w:rPr>
          <w:rFonts w:hint="eastAsia" w:ascii="仿宋" w:hAnsi="仿宋" w:eastAsia="仿宋" w:cs="FZFangSong-Z02"/>
          <w:color w:val="000000"/>
          <w:kern w:val="0"/>
          <w:sz w:val="32"/>
          <w:szCs w:val="32"/>
        </w:rPr>
        <w:t>等以外的收入。主要是按规定动用的租房收入、存款利息收入等。</w:t>
      </w:r>
    </w:p>
    <w:p>
      <w:pPr>
        <w:autoSpaceDE w:val="0"/>
        <w:autoSpaceDN w:val="0"/>
        <w:adjustRightInd w:val="0"/>
        <w:jc w:val="left"/>
        <w:rPr>
          <w:rFonts w:ascii="仿宋" w:hAnsi="仿宋" w:eastAsia="仿宋" w:cs="FZFangSong-Z02"/>
          <w:color w:val="000000"/>
          <w:kern w:val="0"/>
          <w:sz w:val="32"/>
          <w:szCs w:val="32"/>
        </w:rPr>
      </w:pPr>
      <w:r>
        <w:rPr>
          <w:rFonts w:hint="eastAsia" w:ascii="仿宋" w:hAnsi="仿宋" w:eastAsia="仿宋" w:cs="Times New Roman"/>
          <w:b/>
          <w:bCs/>
          <w:color w:val="000000"/>
          <w:kern w:val="0"/>
          <w:sz w:val="32"/>
          <w:szCs w:val="32"/>
        </w:rPr>
        <w:t xml:space="preserve">    4</w:t>
      </w:r>
      <w:r>
        <w:rPr>
          <w:rFonts w:hint="eastAsia" w:ascii="仿宋" w:hAnsi="仿宋" w:eastAsia="仿宋" w:cs="FZFangSong-Z02"/>
          <w:color w:val="000000"/>
          <w:kern w:val="0"/>
          <w:sz w:val="32"/>
          <w:szCs w:val="32"/>
        </w:rPr>
        <w:t>、基本支出：</w:t>
      </w:r>
      <w:r>
        <w:rPr>
          <w:rFonts w:hint="eastAsia" w:ascii="仿宋" w:hAnsi="仿宋" w:eastAsia="仿宋" w:cs="Times New Roman"/>
          <w:color w:val="000000"/>
          <w:kern w:val="0"/>
          <w:sz w:val="32"/>
          <w:szCs w:val="32"/>
        </w:rPr>
        <w:t>指为保障机构正常运转、完成日常工作任务而发生的人员支出和公用支出。</w:t>
      </w:r>
    </w:p>
    <w:p>
      <w:pPr>
        <w:rPr>
          <w:rFonts w:ascii="仿宋" w:hAnsi="仿宋" w:eastAsia="仿宋" w:cs="黑体"/>
          <w:sz w:val="32"/>
          <w:szCs w:val="32"/>
        </w:rPr>
      </w:pPr>
      <w:r>
        <w:rPr>
          <w:rFonts w:hint="eastAsia" w:ascii="仿宋" w:hAnsi="仿宋" w:eastAsia="仿宋" w:cs="黑体"/>
          <w:b/>
          <w:bCs/>
          <w:sz w:val="32"/>
          <w:szCs w:val="32"/>
        </w:rPr>
        <w:t xml:space="preserve">    5</w:t>
      </w:r>
      <w:r>
        <w:rPr>
          <w:rFonts w:hint="eastAsia" w:ascii="仿宋" w:hAnsi="仿宋" w:eastAsia="仿宋" w:cs="FZFangSong-Z02"/>
          <w:sz w:val="32"/>
          <w:szCs w:val="32"/>
        </w:rPr>
        <w:t>、项目支出：</w:t>
      </w:r>
      <w:r>
        <w:rPr>
          <w:rFonts w:hint="eastAsia" w:ascii="仿宋" w:hAnsi="仿宋" w:eastAsia="仿宋" w:cs="黑体"/>
          <w:sz w:val="32"/>
          <w:szCs w:val="32"/>
        </w:rPr>
        <w:t>指在基本支出之外为完成特定行政任务和事业发展目标所发生的支出。</w:t>
      </w:r>
    </w:p>
    <w:p>
      <w:pPr>
        <w:autoSpaceDE w:val="0"/>
        <w:autoSpaceDN w:val="0"/>
        <w:adjustRightInd w:val="0"/>
        <w:jc w:val="left"/>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 xml:space="preserve">    6</w:t>
      </w:r>
      <w:r>
        <w:rPr>
          <w:rFonts w:hint="eastAsia" w:ascii="仿宋" w:hAnsi="仿宋" w:eastAsia="仿宋" w:cs="FZFangSong-Z02"/>
          <w:color w:val="000000"/>
          <w:kern w:val="0"/>
          <w:sz w:val="32"/>
          <w:szCs w:val="32"/>
        </w:rPr>
        <w:t>、上缴上级支出：</w:t>
      </w:r>
      <w:r>
        <w:rPr>
          <w:rFonts w:hint="eastAsia" w:ascii="仿宋" w:hAnsi="仿宋" w:eastAsia="仿宋" w:cs="Times New Roman"/>
          <w:color w:val="000000"/>
          <w:kern w:val="0"/>
          <w:sz w:val="32"/>
          <w:szCs w:val="32"/>
        </w:rPr>
        <w:t>指下级单位上缴上级的支出。</w:t>
      </w:r>
    </w:p>
    <w:p>
      <w:pPr>
        <w:autoSpaceDE w:val="0"/>
        <w:autoSpaceDN w:val="0"/>
        <w:adjustRightInd w:val="0"/>
        <w:jc w:val="left"/>
        <w:rPr>
          <w:rFonts w:ascii="仿宋" w:hAnsi="仿宋" w:eastAsia="仿宋" w:cs="FZFangSong-Z02"/>
          <w:color w:val="000000"/>
          <w:kern w:val="0"/>
          <w:sz w:val="32"/>
          <w:szCs w:val="32"/>
        </w:rPr>
      </w:pPr>
      <w:r>
        <w:rPr>
          <w:rFonts w:hint="eastAsia" w:ascii="仿宋" w:hAnsi="仿宋" w:eastAsia="仿宋" w:cs="Times New Roman"/>
          <w:b/>
          <w:bCs/>
          <w:color w:val="000000"/>
          <w:kern w:val="0"/>
          <w:sz w:val="32"/>
          <w:szCs w:val="32"/>
        </w:rPr>
        <w:t xml:space="preserve">    7</w:t>
      </w:r>
      <w:r>
        <w:rPr>
          <w:rFonts w:hint="eastAsia" w:ascii="仿宋" w:hAnsi="仿宋" w:eastAsia="仿宋" w:cs="FZFangSong-Z02"/>
          <w:color w:val="000000"/>
          <w:kern w:val="0"/>
          <w:sz w:val="32"/>
          <w:szCs w:val="32"/>
        </w:rPr>
        <w:t>、</w:t>
      </w:r>
      <w:r>
        <w:rPr>
          <w:rFonts w:hint="eastAsia" w:ascii="仿宋" w:hAnsi="仿宋" w:eastAsia="仿宋" w:cs="Times New Roman"/>
          <w:b/>
          <w:bCs/>
          <w:color w:val="000000"/>
          <w:kern w:val="0"/>
          <w:sz w:val="32"/>
          <w:szCs w:val="32"/>
        </w:rPr>
        <w:t>“</w:t>
      </w:r>
      <w:r>
        <w:rPr>
          <w:rFonts w:hint="eastAsia" w:ascii="仿宋" w:hAnsi="仿宋" w:eastAsia="仿宋" w:cs="FZFangSong-Z02"/>
          <w:color w:val="000000"/>
          <w:kern w:val="0"/>
          <w:sz w:val="32"/>
          <w:szCs w:val="32"/>
        </w:rPr>
        <w:t>三公</w:t>
      </w:r>
      <w:r>
        <w:rPr>
          <w:rFonts w:hint="eastAsia" w:ascii="仿宋" w:hAnsi="仿宋" w:eastAsia="仿宋" w:cs="Times New Roman"/>
          <w:b/>
          <w:bCs/>
          <w:color w:val="000000"/>
          <w:kern w:val="0"/>
          <w:sz w:val="32"/>
          <w:szCs w:val="32"/>
        </w:rPr>
        <w:t>”</w:t>
      </w:r>
      <w:r>
        <w:rPr>
          <w:rFonts w:hint="eastAsia" w:ascii="仿宋" w:hAnsi="仿宋" w:eastAsia="仿宋" w:cs="FZFangSong-Z02"/>
          <w:color w:val="000000"/>
          <w:kern w:val="0"/>
          <w:sz w:val="32"/>
          <w:szCs w:val="32"/>
        </w:rPr>
        <w:t>经费：纳入市级财政预算管理的</w:t>
      </w:r>
      <w:r>
        <w:rPr>
          <w:rFonts w:hint="eastAsia" w:ascii="仿宋" w:hAnsi="仿宋" w:eastAsia="仿宋" w:cs="Times New Roman"/>
          <w:color w:val="000000"/>
          <w:kern w:val="0"/>
          <w:sz w:val="32"/>
          <w:szCs w:val="32"/>
        </w:rPr>
        <w:t>“</w:t>
      </w:r>
      <w:r>
        <w:rPr>
          <w:rFonts w:hint="eastAsia" w:ascii="仿宋" w:hAnsi="仿宋" w:eastAsia="仿宋" w:cs="FZFangSong-Z02"/>
          <w:color w:val="000000"/>
          <w:kern w:val="0"/>
          <w:sz w:val="32"/>
          <w:szCs w:val="32"/>
        </w:rPr>
        <w:t>三公</w:t>
      </w:r>
      <w:r>
        <w:rPr>
          <w:rFonts w:hint="eastAsia" w:ascii="仿宋" w:hAnsi="仿宋" w:eastAsia="仿宋" w:cs="Times New Roman"/>
          <w:color w:val="000000"/>
          <w:kern w:val="0"/>
          <w:sz w:val="32"/>
          <w:szCs w:val="32"/>
        </w:rPr>
        <w:t>”</w:t>
      </w:r>
      <w:r>
        <w:rPr>
          <w:rFonts w:hint="eastAsia" w:ascii="仿宋" w:hAnsi="仿宋" w:eastAsia="仿宋" w:cs="FZFangSong-Z02"/>
          <w:color w:val="000000"/>
          <w:kern w:val="0"/>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hint="eastAsia" w:ascii="仿宋" w:hAnsi="仿宋" w:eastAsia="仿宋" w:cs="黑体"/>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cs="黑体"/>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32"/>
    <w:rsid w:val="00005AA1"/>
    <w:rsid w:val="0002731F"/>
    <w:rsid w:val="00037AF6"/>
    <w:rsid w:val="00045A61"/>
    <w:rsid w:val="00062DD6"/>
    <w:rsid w:val="000650DE"/>
    <w:rsid w:val="000751CD"/>
    <w:rsid w:val="00075D5F"/>
    <w:rsid w:val="00093D80"/>
    <w:rsid w:val="0009470B"/>
    <w:rsid w:val="000A2CCF"/>
    <w:rsid w:val="000A63E7"/>
    <w:rsid w:val="000B04B5"/>
    <w:rsid w:val="000C3A19"/>
    <w:rsid w:val="000D0B06"/>
    <w:rsid w:val="000D3461"/>
    <w:rsid w:val="001245BB"/>
    <w:rsid w:val="00125FBB"/>
    <w:rsid w:val="001634ED"/>
    <w:rsid w:val="0017334B"/>
    <w:rsid w:val="0018479D"/>
    <w:rsid w:val="001A1EDF"/>
    <w:rsid w:val="00203698"/>
    <w:rsid w:val="00223272"/>
    <w:rsid w:val="00241FD4"/>
    <w:rsid w:val="0024465C"/>
    <w:rsid w:val="00245A9E"/>
    <w:rsid w:val="00246DD9"/>
    <w:rsid w:val="002508C4"/>
    <w:rsid w:val="00251B12"/>
    <w:rsid w:val="002546B1"/>
    <w:rsid w:val="00261354"/>
    <w:rsid w:val="00262C14"/>
    <w:rsid w:val="002645FB"/>
    <w:rsid w:val="00296113"/>
    <w:rsid w:val="002B2309"/>
    <w:rsid w:val="002C200A"/>
    <w:rsid w:val="002D1476"/>
    <w:rsid w:val="002D44B3"/>
    <w:rsid w:val="002D4AF7"/>
    <w:rsid w:val="002E0FBD"/>
    <w:rsid w:val="002F3E58"/>
    <w:rsid w:val="0030542C"/>
    <w:rsid w:val="00311B7A"/>
    <w:rsid w:val="00332ABC"/>
    <w:rsid w:val="003A094E"/>
    <w:rsid w:val="003A3EF2"/>
    <w:rsid w:val="003E1A7F"/>
    <w:rsid w:val="003F49E7"/>
    <w:rsid w:val="00415996"/>
    <w:rsid w:val="004234E7"/>
    <w:rsid w:val="00451871"/>
    <w:rsid w:val="00457403"/>
    <w:rsid w:val="004610E7"/>
    <w:rsid w:val="00472923"/>
    <w:rsid w:val="0049587B"/>
    <w:rsid w:val="00497870"/>
    <w:rsid w:val="004B37C2"/>
    <w:rsid w:val="004C0C99"/>
    <w:rsid w:val="004E3066"/>
    <w:rsid w:val="004E74CD"/>
    <w:rsid w:val="004F6123"/>
    <w:rsid w:val="005075F4"/>
    <w:rsid w:val="00520CEC"/>
    <w:rsid w:val="005632E5"/>
    <w:rsid w:val="00573562"/>
    <w:rsid w:val="00593A93"/>
    <w:rsid w:val="00595C93"/>
    <w:rsid w:val="005C1AEB"/>
    <w:rsid w:val="006009A1"/>
    <w:rsid w:val="006140E8"/>
    <w:rsid w:val="00614A29"/>
    <w:rsid w:val="00646686"/>
    <w:rsid w:val="00656F45"/>
    <w:rsid w:val="006D6C8A"/>
    <w:rsid w:val="007323EB"/>
    <w:rsid w:val="0075393C"/>
    <w:rsid w:val="00757221"/>
    <w:rsid w:val="00772E0B"/>
    <w:rsid w:val="00776C08"/>
    <w:rsid w:val="007A1524"/>
    <w:rsid w:val="007B2D87"/>
    <w:rsid w:val="007B4EE0"/>
    <w:rsid w:val="007E1DA8"/>
    <w:rsid w:val="007E5F23"/>
    <w:rsid w:val="007F1DCF"/>
    <w:rsid w:val="007F6C26"/>
    <w:rsid w:val="007F7075"/>
    <w:rsid w:val="008334AE"/>
    <w:rsid w:val="00836FED"/>
    <w:rsid w:val="00845CD2"/>
    <w:rsid w:val="008502D8"/>
    <w:rsid w:val="00852B0D"/>
    <w:rsid w:val="008546DE"/>
    <w:rsid w:val="00881692"/>
    <w:rsid w:val="008A5503"/>
    <w:rsid w:val="008B3CC5"/>
    <w:rsid w:val="008C2BAF"/>
    <w:rsid w:val="008E4261"/>
    <w:rsid w:val="008F4662"/>
    <w:rsid w:val="00905D08"/>
    <w:rsid w:val="00910FAF"/>
    <w:rsid w:val="00925753"/>
    <w:rsid w:val="00927B0B"/>
    <w:rsid w:val="009668BA"/>
    <w:rsid w:val="00966C5C"/>
    <w:rsid w:val="00967BB9"/>
    <w:rsid w:val="00973104"/>
    <w:rsid w:val="00994EBE"/>
    <w:rsid w:val="009B0E47"/>
    <w:rsid w:val="009C119B"/>
    <w:rsid w:val="00A06597"/>
    <w:rsid w:val="00A158AC"/>
    <w:rsid w:val="00A34D76"/>
    <w:rsid w:val="00A72D2E"/>
    <w:rsid w:val="00A90F1A"/>
    <w:rsid w:val="00A911E7"/>
    <w:rsid w:val="00A939D9"/>
    <w:rsid w:val="00AA71ED"/>
    <w:rsid w:val="00AF6B63"/>
    <w:rsid w:val="00B043C4"/>
    <w:rsid w:val="00B20712"/>
    <w:rsid w:val="00B43238"/>
    <w:rsid w:val="00B75216"/>
    <w:rsid w:val="00B91D52"/>
    <w:rsid w:val="00BA1ACD"/>
    <w:rsid w:val="00BA408B"/>
    <w:rsid w:val="00C24BF5"/>
    <w:rsid w:val="00C8569A"/>
    <w:rsid w:val="00CA7176"/>
    <w:rsid w:val="00CD2773"/>
    <w:rsid w:val="00CE143B"/>
    <w:rsid w:val="00CE403B"/>
    <w:rsid w:val="00D361CD"/>
    <w:rsid w:val="00D80DB8"/>
    <w:rsid w:val="00DA2FDB"/>
    <w:rsid w:val="00DF1630"/>
    <w:rsid w:val="00E167C7"/>
    <w:rsid w:val="00E6709E"/>
    <w:rsid w:val="00E84FEB"/>
    <w:rsid w:val="00EB314A"/>
    <w:rsid w:val="00EC47F6"/>
    <w:rsid w:val="00EE1B43"/>
    <w:rsid w:val="00EE6715"/>
    <w:rsid w:val="00F153EF"/>
    <w:rsid w:val="00F3291D"/>
    <w:rsid w:val="00F47BFF"/>
    <w:rsid w:val="00F50E15"/>
    <w:rsid w:val="00F61055"/>
    <w:rsid w:val="00F66032"/>
    <w:rsid w:val="00F958C2"/>
    <w:rsid w:val="00FB4CD3"/>
    <w:rsid w:val="00FC6357"/>
    <w:rsid w:val="00FD161E"/>
    <w:rsid w:val="00FD2081"/>
    <w:rsid w:val="00FE3D85"/>
    <w:rsid w:val="3A886F10"/>
    <w:rsid w:val="723357D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uiPriority w:val="0"/>
    <w:rPr>
      <w:rFonts w:ascii="Times New Roman" w:hAnsi="Times New Roman" w:eastAsia="宋体" w:cs="Times New Roman"/>
      <w:szCs w:val="24"/>
    </w:rPr>
  </w:style>
  <w:style w:type="paragraph" w:styleId="5">
    <w:name w:val="toc 2"/>
    <w:basedOn w:val="1"/>
    <w:next w:val="1"/>
    <w:uiPriority w:val="0"/>
    <w:pPr>
      <w:ind w:left="420" w:leftChars="200"/>
    </w:pPr>
    <w:rPr>
      <w:rFonts w:ascii="Times New Roman" w:hAnsi="Times New Roman" w:eastAsia="宋体" w:cs="Times New Roman"/>
      <w:szCs w:val="24"/>
    </w:rPr>
  </w:style>
  <w:style w:type="character" w:customStyle="1" w:styleId="8">
    <w:name w:val="页眉 Char"/>
    <w:basedOn w:val="6"/>
    <w:link w:val="3"/>
    <w:uiPriority w:val="0"/>
    <w:rPr>
      <w:rFonts w:ascii="Times New Roman" w:hAnsi="Times New Roman" w:eastAsia="宋体" w:cs="Times New Roman"/>
      <w:sz w:val="18"/>
      <w:szCs w:val="18"/>
    </w:rPr>
  </w:style>
  <w:style w:type="character" w:customStyle="1" w:styleId="9">
    <w:name w:val="页脚 Char"/>
    <w:basedOn w:val="6"/>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E3D19-335F-45E7-88DB-BADB3EE2849D}">
  <ds:schemaRefs/>
</ds:datastoreItem>
</file>

<file path=docProps/app.xml><?xml version="1.0" encoding="utf-8"?>
<Properties xmlns="http://schemas.openxmlformats.org/officeDocument/2006/extended-properties" xmlns:vt="http://schemas.openxmlformats.org/officeDocument/2006/docPropsVTypes">
  <Template>Normal</Template>
  <Pages>10</Pages>
  <Words>625</Words>
  <Characters>3569</Characters>
  <Lines>29</Lines>
  <Paragraphs>8</Paragraphs>
  <ScaleCrop>false</ScaleCrop>
  <LinksUpToDate>false</LinksUpToDate>
  <CharactersWithSpaces>4186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2017-06-27T00:56:00Z</dcterms:created>
  <dc:creator>guest</dc:creator>
  <cp:lastModifiedBy>jszx</cp:lastModifiedBy>
  <dcterms:modified xsi:type="dcterms:W3CDTF">2017-11-20T07:30:03Z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